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9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90"/>
        <w:gridCol w:w="4380"/>
        <w:gridCol w:w="4635"/>
        <w:tblGridChange w:id="0">
          <w:tblGrid>
            <w:gridCol w:w="4890"/>
            <w:gridCol w:w="4380"/>
            <w:gridCol w:w="46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Current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Proposed additions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 572 Service of notices and other documents.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Any order, notice or other document required or authorised by this Act to be served on, or given to, any person may be served or given —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by delivering it to that person, or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by leaving it at his usual or last known place of residence, or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  <w:t xml:space="preserve">(c) by sending it in a prepaid letter addressed to him at that place.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But such a document may not be served or given in an electronic communication to a person as a parent unless —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the person consents in writing to the receipt of documents of the kind in question from the sender in an electronic communication sent to a specified number or address, and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the communication is sent to the number or address in question.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(3) In subsection (2), “electronic communication” has the same meaning as in the Electronic Communications Act 2000.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S572 (4)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(4) This section does not preclude any notice or order under sections 436H to 436O (which relate to school attendance orders in England) from being served by any other effective method.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(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(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(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(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