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10"/>
        <w:gridCol w:w="6660"/>
        <w:gridCol w:w="4635"/>
        <w:tblGridChange w:id="0">
          <w:tblGrid>
            <w:gridCol w:w="2610"/>
            <w:gridCol w:w="6660"/>
            <w:gridCol w:w="46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Current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Proposed additions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Schedule 31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Insert after schedule 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Schedule 31 A FAILURE TO PROVIDE INFORMATION UNDER SECTION 436E: MONETARY PENALTIES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Warning notice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(1) Where a local authority in England proposes to require a person to 5 pay a monetary penalty under section 436E(8), the authority must serve a notice on the person of what is proposed (a “warning notice”). The warning notice must include information as to—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(a) the grounds for the proposal to require payment of the monetary penalty,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(b) the amount of the penalty, and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(c) the person’s right to make representations.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Representations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 The person on whom the warning notice is served may make written representations to the local authority in relation to the proposed requirement to pay a monetary penalty—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(a) before the end of the period of 14 days beginning with the day on which the notice is served, or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(b) if within that period the person gives written notice of their intention to make representations, before the end of the period of 28 days beginning with that day.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Imposition of penalty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(1) Where a person has made representations in response to a warning notice, or the time for doing so has elapsed, the local authority must decide whether to require the person to pay the monetary penalty.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(2) The local authority may not require the person to pay a monetary penalty if the authority is no longer satisfied as mentioned in section 436E(8).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(3) If the local authority decide not to require the person to pay the penalty, the authority must inform the person of that fact.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Penalty notice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(1) A requirement to pay a monetary penalty is imposed by a notice served on the person by the local authority (a “penalty notice”).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(2) A penalty notice must include information as to— 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(a) the grounds for requiring payment of the monetary penalty,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(b) the amount of the penalty,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(c) how payment may be made,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(d) the period within which payment is to be made (which must be at least 28 days beginning with the day on which the notice is served),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(e) the consequences of late payment (see paragraph 5), and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(f) rights of appeal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(3) A penalty notice may be withdrawn at any time by the local authority that gave it.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Consequences of late payment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5 If the person on whom a penalty notice is served fails to pay the monetary penalty within the period specified in the notice, the amount of the penalty is increased by the prescribed percentage.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Appeals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(1) A person on whom a penalty notice is served may appeal to the First-tier Tribunal on any of the grounds mentioned in sub-paragraph (2).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(2) The grounds are that—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(a) the decision to require payment of the penalty was based on an error of fact;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(b) the decision was wrong in law;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(c) the decision was unreasonable.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(3) On an appeal under this paragraph the First-tier Tribunal may— 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(a) quash the penalty notice,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(b) confirm the penalty notice, or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(c) vary the penalty notice by reducing the amount of the monetary penalty.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ind w:left="1440" w:firstLine="0"/>
              <w:rPr/>
            </w:pPr>
            <w:r w:rsidDel="00000000" w:rsidR="00000000" w:rsidRPr="00000000">
              <w:rPr>
                <w:rtl w:val="0"/>
              </w:rPr>
              <w:t xml:space="preserve">(4) Where an appeal under this paragraph is made, the requirement to pay the monetary penalty is suspended pending the final determination or withdrawal of the appeal.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Enforcement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7 If a person does not pay the whole or any part of a monetary penalty which the person is required to pay under this Schedule within the time specified in the penalty notice, the penalty or part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of the penalty is recoverable as if it were payable under an order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of the county court.”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